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AE0C2" w14:textId="49608B43" w:rsidR="00E7539E" w:rsidRPr="00FE451E" w:rsidRDefault="00E7539E" w:rsidP="00E7539E">
      <w:pPr>
        <w:spacing w:after="120" w:line="264" w:lineRule="atLeast"/>
        <w:textAlignment w:val="baseline"/>
        <w:outlineLvl w:val="0"/>
        <w:rPr>
          <w:rFonts w:ascii="Times New Roman" w:eastAsia="Times New Roman" w:hAnsi="Times New Roman" w:cs="Times New Roman"/>
          <w:color w:val="2A2A2A"/>
          <w:kern w:val="0"/>
          <w:sz w:val="28"/>
          <w:szCs w:val="28"/>
          <w14:ligatures w14:val="none"/>
        </w:rPr>
      </w:pPr>
      <w:r w:rsidRPr="00FE451E">
        <w:rPr>
          <w:rFonts w:ascii="Times New Roman" w:eastAsia="Times New Roman" w:hAnsi="Times New Roman" w:cs="Times New Roman"/>
          <w:b/>
          <w:bCs/>
          <w:color w:val="2A2A2A"/>
          <w:kern w:val="36"/>
          <w:sz w:val="28"/>
          <w:szCs w:val="28"/>
          <w14:ligatures w14:val="none"/>
        </w:rPr>
        <w:t>SEC SEXUAL HARASSMENT CASE SETTLED</w:t>
      </w:r>
    </w:p>
    <w:p w14:paraId="5F9F5D04" w14:textId="77777777" w:rsidR="00E7539E" w:rsidRPr="00FE451E" w:rsidRDefault="00E7539E" w:rsidP="00E7539E">
      <w:pPr>
        <w:spacing w:after="0" w:line="330" w:lineRule="atLeast"/>
        <w:textAlignment w:val="baseline"/>
        <w:rPr>
          <w:rFonts w:ascii="Times New Roman" w:eastAsia="Times New Roman" w:hAnsi="Times New Roman" w:cs="Times New Roman"/>
          <w:color w:val="666666"/>
          <w:kern w:val="0"/>
          <w:sz w:val="28"/>
          <w:szCs w:val="28"/>
          <w:bdr w:val="none" w:sz="0" w:space="0" w:color="auto" w:frame="1"/>
          <w14:ligatures w14:val="none"/>
        </w:rPr>
      </w:pPr>
      <w:r w:rsidRPr="00FE451E">
        <w:rPr>
          <w:rFonts w:ascii="Times New Roman" w:eastAsia="Times New Roman" w:hAnsi="Times New Roman" w:cs="Times New Roman"/>
          <w:color w:val="666666"/>
          <w:kern w:val="0"/>
          <w:sz w:val="28"/>
          <w:szCs w:val="28"/>
          <w:bdr w:val="none" w:sz="0" w:space="0" w:color="auto" w:frame="1"/>
          <w14:ligatures w14:val="none"/>
        </w:rPr>
        <w:t>The Washington Post</w:t>
      </w:r>
    </w:p>
    <w:p w14:paraId="7CFB4909" w14:textId="1149E958" w:rsidR="00E7539E" w:rsidRPr="00FE451E" w:rsidRDefault="00E7539E" w:rsidP="00E7539E">
      <w:pPr>
        <w:spacing w:after="0" w:line="330" w:lineRule="atLeast"/>
        <w:textAlignment w:val="baseline"/>
        <w:rPr>
          <w:rFonts w:ascii="Times New Roman" w:eastAsia="Times New Roman" w:hAnsi="Times New Roman" w:cs="Times New Roman"/>
          <w:color w:val="666666"/>
          <w:kern w:val="0"/>
          <w:sz w:val="28"/>
          <w:szCs w:val="28"/>
          <w14:ligatures w14:val="none"/>
        </w:rPr>
      </w:pPr>
      <w:r w:rsidRPr="00FE451E">
        <w:rPr>
          <w:rFonts w:ascii="Times New Roman" w:eastAsia="Times New Roman" w:hAnsi="Times New Roman" w:cs="Times New Roman"/>
          <w:color w:val="666666"/>
          <w:kern w:val="0"/>
          <w:sz w:val="28"/>
          <w:szCs w:val="28"/>
          <w:bdr w:val="none" w:sz="0" w:space="0" w:color="auto" w:frame="1"/>
          <w14:ligatures w14:val="none"/>
        </w:rPr>
        <w:t xml:space="preserve">By </w:t>
      </w:r>
      <w:r w:rsidRPr="00FE451E">
        <w:rPr>
          <w:rFonts w:ascii="Times New Roman" w:eastAsia="Times New Roman" w:hAnsi="Times New Roman" w:cs="Times New Roman"/>
          <w:color w:val="111111"/>
          <w:kern w:val="0"/>
          <w:sz w:val="28"/>
          <w:szCs w:val="28"/>
          <w:bdr w:val="none" w:sz="0" w:space="0" w:color="auto" w:frame="1"/>
          <w14:ligatures w14:val="none"/>
        </w:rPr>
        <w:t>David A. Vise</w:t>
      </w:r>
      <w:r w:rsidRPr="00FE451E">
        <w:rPr>
          <w:rFonts w:ascii="Times New Roman" w:eastAsia="Times New Roman" w:hAnsi="Times New Roman" w:cs="Times New Roman"/>
          <w:color w:val="666666"/>
          <w:kern w:val="0"/>
          <w:sz w:val="28"/>
          <w:szCs w:val="28"/>
          <w14:ligatures w14:val="none"/>
        </w:rPr>
        <w:t xml:space="preserve"> </w:t>
      </w:r>
      <w:r w:rsidRPr="00FE451E">
        <w:rPr>
          <w:rFonts w:ascii="Times New Roman" w:eastAsia="Times New Roman" w:hAnsi="Times New Roman" w:cs="Times New Roman"/>
          <w:color w:val="666666"/>
          <w:kern w:val="0"/>
          <w:sz w:val="28"/>
          <w:szCs w:val="28"/>
          <w:bdr w:val="none" w:sz="0" w:space="0" w:color="auto" w:frame="1"/>
          <w14:ligatures w14:val="none"/>
        </w:rPr>
        <w:t xml:space="preserve">and </w:t>
      </w:r>
      <w:r w:rsidRPr="00FE451E">
        <w:rPr>
          <w:rFonts w:ascii="Times New Roman" w:eastAsia="Times New Roman" w:hAnsi="Times New Roman" w:cs="Times New Roman"/>
          <w:color w:val="111111"/>
          <w:kern w:val="0"/>
          <w:sz w:val="28"/>
          <w:szCs w:val="28"/>
          <w:bdr w:val="none" w:sz="0" w:space="0" w:color="auto" w:frame="1"/>
          <w14:ligatures w14:val="none"/>
        </w:rPr>
        <w:t>Steve Coll</w:t>
      </w:r>
    </w:p>
    <w:p w14:paraId="4F2DD2EF" w14:textId="77777777" w:rsidR="00E7539E" w:rsidRDefault="00E7539E" w:rsidP="00E7539E">
      <w:pPr>
        <w:spacing w:line="330" w:lineRule="atLeast"/>
        <w:textAlignment w:val="baseline"/>
        <w:rPr>
          <w:rFonts w:ascii="Times New Roman" w:eastAsia="Times New Roman" w:hAnsi="Times New Roman" w:cs="Times New Roman"/>
          <w:color w:val="666666"/>
          <w:kern w:val="0"/>
          <w:sz w:val="28"/>
          <w:szCs w:val="28"/>
          <w:bdr w:val="none" w:sz="0" w:space="0" w:color="auto" w:frame="1"/>
          <w14:ligatures w14:val="none"/>
        </w:rPr>
      </w:pPr>
      <w:r w:rsidRPr="00FE451E">
        <w:rPr>
          <w:rFonts w:ascii="Times New Roman" w:eastAsia="Times New Roman" w:hAnsi="Times New Roman" w:cs="Times New Roman"/>
          <w:color w:val="666666"/>
          <w:kern w:val="0"/>
          <w:sz w:val="28"/>
          <w:szCs w:val="28"/>
          <w:bdr w:val="none" w:sz="0" w:space="0" w:color="auto" w:frame="1"/>
          <w14:ligatures w14:val="none"/>
        </w:rPr>
        <w:t>September 2, 1988</w:t>
      </w:r>
    </w:p>
    <w:p w14:paraId="798CA11F" w14:textId="77777777" w:rsidR="00FE451E" w:rsidRPr="00FE451E" w:rsidRDefault="00FE451E" w:rsidP="00E7539E">
      <w:pPr>
        <w:spacing w:line="330" w:lineRule="atLeast"/>
        <w:textAlignment w:val="baseline"/>
        <w:rPr>
          <w:rFonts w:ascii="Times New Roman" w:eastAsia="Times New Roman" w:hAnsi="Times New Roman" w:cs="Times New Roman"/>
          <w:color w:val="666666"/>
          <w:kern w:val="0"/>
          <w:sz w:val="28"/>
          <w:szCs w:val="28"/>
          <w14:ligatures w14:val="none"/>
        </w:rPr>
      </w:pPr>
    </w:p>
    <w:p w14:paraId="2C01ED9F"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The Securities and Exchange Commission agreed to pay $145,000 to settle claims by a former employee who said she was a victim of pervasive sexual harassment, including unwanted physical advances and verbal invitations for sexual liaisons, sources said yesterday.</w:t>
      </w:r>
    </w:p>
    <w:p w14:paraId="6105BB96"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The confidential $145,000 settlement reached late last month is the largest of its kind in the agency's history. The settlement comes about three months after the SEC lost a major sexual harassment case involving attorney Catherine A. Broderick, who is to receive $88,000.</w:t>
      </w:r>
    </w:p>
    <w:p w14:paraId="33FA46A1"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Disclosure of the latest settlement, with Veronica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is likely to be a major setback for the SEC, which has been striving to overcome the unfavorable publicity over sexual discrimination and affairs between supervisors and employees at the commission's disbanded Washington regional office, where Broderick worked.</w:t>
      </w:r>
    </w:p>
    <w:p w14:paraId="23745FDD"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Sources said the more than $200,000 in total awards to Broderick and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were pegged to back pay, since federal employees are ineligible for punitive damages in harassment cases.</w:t>
      </w:r>
    </w:p>
    <w:p w14:paraId="428E5ECD"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While Broderick's allegations concerned behavior in the SEC's Washington regional office from 1979 to 1984, the settlement reached with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concerned incidents in 1983 at SEC headquarters. SEC spokeswoman Mary McCue said yesterday the agency had no comment on the matter.</w:t>
      </w:r>
    </w:p>
    <w:p w14:paraId="6AD7BD2E"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According to court documents,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then a branch chief in the agency's Office of Applications and Report Services, filed a sexual harassment complaint in May 1983, alleging that suggestive sexual remarks and other actions by supervisors and colleagues created an atmosphere that condoned "sexual harassment of female employees" in the </w:t>
      </w:r>
      <w:proofErr w:type="spellStart"/>
      <w:r w:rsidRPr="00FE451E">
        <w:rPr>
          <w:rFonts w:ascii="Times New Roman" w:eastAsia="Times New Roman" w:hAnsi="Times New Roman" w:cs="Times New Roman"/>
          <w:kern w:val="0"/>
          <w:sz w:val="28"/>
          <w:szCs w:val="28"/>
          <w14:ligatures w14:val="none"/>
        </w:rPr>
        <w:t>office."The</w:t>
      </w:r>
      <w:proofErr w:type="spellEnd"/>
      <w:r w:rsidRPr="00FE451E">
        <w:rPr>
          <w:rFonts w:ascii="Times New Roman" w:eastAsia="Times New Roman" w:hAnsi="Times New Roman" w:cs="Times New Roman"/>
          <w:kern w:val="0"/>
          <w:sz w:val="28"/>
          <w:szCs w:val="28"/>
          <w14:ligatures w14:val="none"/>
        </w:rPr>
        <w:t xml:space="preserve"> sexual harassment of me is a pattern and practice of treatment of females within {the Office of Applications and Report Services} ... resulting in females being denied or awarded job benefits, including promotions, depending upon their acquiescence with the supervisors' or managers' sexual approaches," she said.</w:t>
      </w:r>
    </w:p>
    <w:p w14:paraId="71817E53"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In addition,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alleged that Frank Stultz, then executive assistant to the director of the Office of Reports and Information Services, "harassed me by placing his hands on my buttocks and I had done nothing to encourage or to welcome this abusive behavior."</w:t>
      </w:r>
    </w:p>
    <w:p w14:paraId="0FD836A8"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who left the agency in July 1983, alleged that Stultz's actions "result from the managerial climate ... created by ... management engaging in or condoning sexual harassment of female employees." Stultz could not be reached for a comment yesterday.</w:t>
      </w:r>
    </w:p>
    <w:p w14:paraId="74B59249"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proofErr w:type="spellStart"/>
      <w:r w:rsidRPr="00FE451E">
        <w:rPr>
          <w:rFonts w:ascii="Times New Roman" w:eastAsia="Times New Roman" w:hAnsi="Times New Roman" w:cs="Times New Roman"/>
          <w:kern w:val="0"/>
          <w:sz w:val="28"/>
          <w:szCs w:val="28"/>
          <w14:ligatures w14:val="none"/>
        </w:rPr>
        <w:t>Awkard's</w:t>
      </w:r>
      <w:proofErr w:type="spellEnd"/>
      <w:r w:rsidRPr="00FE451E">
        <w:rPr>
          <w:rFonts w:ascii="Times New Roman" w:eastAsia="Times New Roman" w:hAnsi="Times New Roman" w:cs="Times New Roman"/>
          <w:kern w:val="0"/>
          <w:sz w:val="28"/>
          <w:szCs w:val="28"/>
          <w14:ligatures w14:val="none"/>
        </w:rPr>
        <w:t xml:space="preserve"> allegations about the work environment at the SEC were echoed in the opinion of U.S. District Judge John H. Pratt, who found in the Broderick case that the SEC's Washington regional office was a "hostile and offensive workplace." In recent weeks, however, numerous women who work at SEC headquarters have said in interviews that the agency is an excellent place to work and that they have not experienced sexual discrimination of any sort.</w:t>
      </w:r>
    </w:p>
    <w:p w14:paraId="74B9F0C1"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proofErr w:type="gramStart"/>
      <w:r w:rsidRPr="00FE451E">
        <w:rPr>
          <w:rFonts w:ascii="Times New Roman" w:eastAsia="Times New Roman" w:hAnsi="Times New Roman" w:cs="Times New Roman"/>
          <w:kern w:val="0"/>
          <w:sz w:val="28"/>
          <w:szCs w:val="28"/>
          <w14:ligatures w14:val="none"/>
        </w:rPr>
        <w:t>In an effort to</w:t>
      </w:r>
      <w:proofErr w:type="gramEnd"/>
      <w:r w:rsidRPr="00FE451E">
        <w:rPr>
          <w:rFonts w:ascii="Times New Roman" w:eastAsia="Times New Roman" w:hAnsi="Times New Roman" w:cs="Times New Roman"/>
          <w:kern w:val="0"/>
          <w:sz w:val="28"/>
          <w:szCs w:val="28"/>
          <w14:ligatures w14:val="none"/>
        </w:rPr>
        <w:t xml:space="preserve"> resolve the 1983 Stultz-</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dispute, Phillip H. Savage, then director of Equal Employment Opportunity at the agency, witnessed an apology from Stultz to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court documents said.</w:t>
      </w:r>
    </w:p>
    <w:p w14:paraId="1C560E3B"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"I sincerely apologize to you for having on two different occasions touched you on your buttocks without your permission and without your encouraging these acts," Stultz said in a May 16, 1983, letter to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Stultz said he would not repeat such "disrespectful behavior."</w:t>
      </w:r>
    </w:p>
    <w:p w14:paraId="2C6CB97D"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But Savage's efforts to resolve the dispute through the apology were unsuccessful.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and her attorney, Harry Spikes, have battled the agency in federal court and through the EEO process, charging that the apology was an inadequate way to resolve the matter. Stultz, who joined the SEC as a messenger in 1946, left in 1983, after apologizing to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w:t>
      </w:r>
    </w:p>
    <w:p w14:paraId="6214B1E5"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In a lawsuit filed in federal court last year,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also alleged that her supervisor, Winfred Dunn, told her that he "could make her job easy and that he could arrange for her to take trips to the island and lay back if she would treat him and others nice."</w:t>
      </w:r>
    </w:p>
    <w:p w14:paraId="4EF994F4"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Dunn, who joined the SEC in 1957, was acting director of the Office of Consumer Affairs at the time he supervised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He left the SEC in January 1988, about two months after the SEC launched a renewed inquiry into </w:t>
      </w:r>
      <w:proofErr w:type="spellStart"/>
      <w:r w:rsidRPr="00FE451E">
        <w:rPr>
          <w:rFonts w:ascii="Times New Roman" w:eastAsia="Times New Roman" w:hAnsi="Times New Roman" w:cs="Times New Roman"/>
          <w:kern w:val="0"/>
          <w:sz w:val="28"/>
          <w:szCs w:val="28"/>
          <w14:ligatures w14:val="none"/>
        </w:rPr>
        <w:t>Awkard's</w:t>
      </w:r>
      <w:proofErr w:type="spellEnd"/>
      <w:r w:rsidRPr="00FE451E">
        <w:rPr>
          <w:rFonts w:ascii="Times New Roman" w:eastAsia="Times New Roman" w:hAnsi="Times New Roman" w:cs="Times New Roman"/>
          <w:kern w:val="0"/>
          <w:sz w:val="28"/>
          <w:szCs w:val="28"/>
          <w14:ligatures w14:val="none"/>
        </w:rPr>
        <w:t xml:space="preserve"> allegations.</w:t>
      </w:r>
    </w:p>
    <w:p w14:paraId="57D42AA8"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That inquiry was directed by Joseph Goldstein, now an associate director in the SEC's enforcement division. In a November 1987 letter, he said he would act as "EEO director ... for this complaint," adding that "allegations in {</w:t>
      </w:r>
      <w:proofErr w:type="spellStart"/>
      <w:r w:rsidRPr="00FE451E">
        <w:rPr>
          <w:rFonts w:ascii="Times New Roman" w:eastAsia="Times New Roman" w:hAnsi="Times New Roman" w:cs="Times New Roman"/>
          <w:kern w:val="0"/>
          <w:sz w:val="28"/>
          <w:szCs w:val="28"/>
          <w14:ligatures w14:val="none"/>
        </w:rPr>
        <w:t>Awkard's</w:t>
      </w:r>
      <w:proofErr w:type="spellEnd"/>
      <w:r w:rsidRPr="00FE451E">
        <w:rPr>
          <w:rFonts w:ascii="Times New Roman" w:eastAsia="Times New Roman" w:hAnsi="Times New Roman" w:cs="Times New Roman"/>
          <w:kern w:val="0"/>
          <w:sz w:val="28"/>
          <w:szCs w:val="28"/>
          <w14:ligatures w14:val="none"/>
        </w:rPr>
        <w:t xml:space="preserve">} complaint of discrimination dated May 9, 1983, regarding sexual harassment have been accepted for </w:t>
      </w:r>
      <w:proofErr w:type="spellStart"/>
      <w:r w:rsidRPr="00FE451E">
        <w:rPr>
          <w:rFonts w:ascii="Times New Roman" w:eastAsia="Times New Roman" w:hAnsi="Times New Roman" w:cs="Times New Roman"/>
          <w:kern w:val="0"/>
          <w:sz w:val="28"/>
          <w:szCs w:val="28"/>
          <w14:ligatures w14:val="none"/>
        </w:rPr>
        <w:t>investigation."In</w:t>
      </w:r>
      <w:proofErr w:type="spellEnd"/>
      <w:r w:rsidRPr="00FE451E">
        <w:rPr>
          <w:rFonts w:ascii="Times New Roman" w:eastAsia="Times New Roman" w:hAnsi="Times New Roman" w:cs="Times New Roman"/>
          <w:kern w:val="0"/>
          <w:sz w:val="28"/>
          <w:szCs w:val="28"/>
          <w14:ligatures w14:val="none"/>
        </w:rPr>
        <w:t xml:space="preserve"> her lawsuit,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also alleged that Edward Wilson, who was assistant to the director of the Office of Consumer Affairs, "made sexual advances" and "harassed" her. She also alleged that Tom Horton, an SEC employee whom she supervised, called her a "bitch." Horton left the SEC in July 1984. Wilson left Nov. 30, 1987, soon after Goldstein launched the renewed inquiry. Neither Wilson nor Horton could be reached for comment </w:t>
      </w:r>
      <w:proofErr w:type="spellStart"/>
      <w:proofErr w:type="gramStart"/>
      <w:r w:rsidRPr="00FE451E">
        <w:rPr>
          <w:rFonts w:ascii="Times New Roman" w:eastAsia="Times New Roman" w:hAnsi="Times New Roman" w:cs="Times New Roman"/>
          <w:kern w:val="0"/>
          <w:sz w:val="28"/>
          <w:szCs w:val="28"/>
          <w14:ligatures w14:val="none"/>
        </w:rPr>
        <w:t>yesterday.Of</w:t>
      </w:r>
      <w:proofErr w:type="spellEnd"/>
      <w:proofErr w:type="gramEnd"/>
      <w:r w:rsidRPr="00FE451E">
        <w:rPr>
          <w:rFonts w:ascii="Times New Roman" w:eastAsia="Times New Roman" w:hAnsi="Times New Roman" w:cs="Times New Roman"/>
          <w:kern w:val="0"/>
          <w:sz w:val="28"/>
          <w:szCs w:val="28"/>
          <w14:ligatures w14:val="none"/>
        </w:rPr>
        <w:t xml:space="preserve"> the $145,000 awarded to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her attorney Harry Spikes will get $32,500 in fees from the SEC, sources said. Neither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nor Spikes could be reached for comment.</w:t>
      </w:r>
    </w:p>
    <w:p w14:paraId="01755CF5" w14:textId="77777777" w:rsidR="00E7539E"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Sources said that as part of the settlement,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will pay $1,000 to the SEC and Spikes will pay $4,000 because some lawsuits filed by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in federal court were thrown out since she had failed to exhaust remedies available at the SEC.</w:t>
      </w:r>
    </w:p>
    <w:p w14:paraId="08E2E3C4" w14:textId="17CB6C19" w:rsidR="00FC49D7" w:rsidRPr="00FE451E" w:rsidRDefault="00E7539E" w:rsidP="00E7539E">
      <w:pPr>
        <w:spacing w:before="60" w:after="270" w:line="240" w:lineRule="auto"/>
        <w:textAlignment w:val="baseline"/>
        <w:rPr>
          <w:rFonts w:ascii="Times New Roman" w:eastAsia="Times New Roman" w:hAnsi="Times New Roman" w:cs="Times New Roman"/>
          <w:kern w:val="0"/>
          <w:sz w:val="28"/>
          <w:szCs w:val="28"/>
          <w14:ligatures w14:val="none"/>
        </w:rPr>
      </w:pPr>
      <w:r w:rsidRPr="00FE451E">
        <w:rPr>
          <w:rFonts w:ascii="Times New Roman" w:eastAsia="Times New Roman" w:hAnsi="Times New Roman" w:cs="Times New Roman"/>
          <w:kern w:val="0"/>
          <w:sz w:val="28"/>
          <w:szCs w:val="28"/>
          <w14:ligatures w14:val="none"/>
        </w:rPr>
        <w:t xml:space="preserve">The </w:t>
      </w:r>
      <w:proofErr w:type="spellStart"/>
      <w:r w:rsidRPr="00FE451E">
        <w:rPr>
          <w:rFonts w:ascii="Times New Roman" w:eastAsia="Times New Roman" w:hAnsi="Times New Roman" w:cs="Times New Roman"/>
          <w:kern w:val="0"/>
          <w:sz w:val="28"/>
          <w:szCs w:val="28"/>
          <w14:ligatures w14:val="none"/>
        </w:rPr>
        <w:t>Awkard</w:t>
      </w:r>
      <w:proofErr w:type="spellEnd"/>
      <w:r w:rsidRPr="00FE451E">
        <w:rPr>
          <w:rFonts w:ascii="Times New Roman" w:eastAsia="Times New Roman" w:hAnsi="Times New Roman" w:cs="Times New Roman"/>
          <w:kern w:val="0"/>
          <w:sz w:val="28"/>
          <w:szCs w:val="28"/>
          <w14:ligatures w14:val="none"/>
        </w:rPr>
        <w:t xml:space="preserve"> settlement comes at a time when the SEC's EEO process is under review. As part of the Broderick settlement, the agency agreed to have outside consultants review its practices and make recommendations about needed changes.</w:t>
      </w:r>
    </w:p>
    <w:sectPr w:rsidR="00FC49D7" w:rsidRPr="00FE45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39E"/>
    <w:rsid w:val="007B20C7"/>
    <w:rsid w:val="00E7539E"/>
    <w:rsid w:val="00FC49D7"/>
    <w:rsid w:val="00FE4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6E5F3"/>
  <w15:chartTrackingRefBased/>
  <w15:docId w15:val="{0D86C27A-6389-4AB9-B468-3E7E17CC6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7539E"/>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39E"/>
    <w:rPr>
      <w:rFonts w:ascii="Times New Roman" w:eastAsia="Times New Roman" w:hAnsi="Times New Roman" w:cs="Times New Roman"/>
      <w:b/>
      <w:bCs/>
      <w:kern w:val="36"/>
      <w:sz w:val="48"/>
      <w:szCs w:val="48"/>
      <w14:ligatures w14:val="none"/>
    </w:rPr>
  </w:style>
  <w:style w:type="character" w:customStyle="1" w:styleId="by-lbl">
    <w:name w:val="by-lbl"/>
    <w:basedOn w:val="DefaultParagraphFont"/>
    <w:rsid w:val="00E7539E"/>
  </w:style>
  <w:style w:type="character" w:customStyle="1" w:styleId="author-name">
    <w:name w:val="author-name"/>
    <w:basedOn w:val="DefaultParagraphFont"/>
    <w:rsid w:val="00E7539E"/>
  </w:style>
  <w:style w:type="character" w:customStyle="1" w:styleId="byline-divider-lbl">
    <w:name w:val="byline-divider-lbl"/>
    <w:basedOn w:val="DefaultParagraphFont"/>
    <w:rsid w:val="00E7539E"/>
  </w:style>
  <w:style w:type="character" w:customStyle="1" w:styleId="author-timestamp">
    <w:name w:val="author-timestamp"/>
    <w:basedOn w:val="DefaultParagraphFont"/>
    <w:rsid w:val="00E7539E"/>
  </w:style>
  <w:style w:type="paragraph" w:styleId="NormalWeb">
    <w:name w:val="Normal (Web)"/>
    <w:basedOn w:val="Normal"/>
    <w:uiPriority w:val="99"/>
    <w:semiHidden/>
    <w:unhideWhenUsed/>
    <w:rsid w:val="00E7539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867436">
      <w:bodyDiv w:val="1"/>
      <w:marLeft w:val="0"/>
      <w:marRight w:val="0"/>
      <w:marTop w:val="0"/>
      <w:marBottom w:val="0"/>
      <w:divBdr>
        <w:top w:val="none" w:sz="0" w:space="0" w:color="auto"/>
        <w:left w:val="none" w:sz="0" w:space="0" w:color="auto"/>
        <w:bottom w:val="none" w:sz="0" w:space="0" w:color="auto"/>
        <w:right w:val="none" w:sz="0" w:space="0" w:color="auto"/>
      </w:divBdr>
      <w:divsChild>
        <w:div w:id="234705853">
          <w:marLeft w:val="0"/>
          <w:marRight w:val="0"/>
          <w:marTop w:val="0"/>
          <w:marBottom w:val="0"/>
          <w:divBdr>
            <w:top w:val="none" w:sz="0" w:space="0" w:color="auto"/>
            <w:left w:val="none" w:sz="0" w:space="0" w:color="auto"/>
            <w:bottom w:val="none" w:sz="0" w:space="0" w:color="auto"/>
            <w:right w:val="none" w:sz="0" w:space="0" w:color="auto"/>
          </w:divBdr>
          <w:divsChild>
            <w:div w:id="1385521673">
              <w:marLeft w:val="0"/>
              <w:marRight w:val="0"/>
              <w:marTop w:val="0"/>
              <w:marBottom w:val="0"/>
              <w:divBdr>
                <w:top w:val="none" w:sz="0" w:space="0" w:color="auto"/>
                <w:left w:val="none" w:sz="0" w:space="0" w:color="auto"/>
                <w:bottom w:val="none" w:sz="0" w:space="0" w:color="auto"/>
                <w:right w:val="none" w:sz="0" w:space="0" w:color="auto"/>
              </w:divBdr>
              <w:divsChild>
                <w:div w:id="2096436881">
                  <w:marLeft w:val="0"/>
                  <w:marRight w:val="0"/>
                  <w:marTop w:val="0"/>
                  <w:marBottom w:val="0"/>
                  <w:divBdr>
                    <w:top w:val="none" w:sz="0" w:space="0" w:color="auto"/>
                    <w:left w:val="none" w:sz="0" w:space="0" w:color="auto"/>
                    <w:bottom w:val="none" w:sz="0" w:space="0" w:color="auto"/>
                    <w:right w:val="none" w:sz="0" w:space="0" w:color="auto"/>
                  </w:divBdr>
                  <w:divsChild>
                    <w:div w:id="913664701">
                      <w:marLeft w:val="0"/>
                      <w:marRight w:val="0"/>
                      <w:marTop w:val="0"/>
                      <w:marBottom w:val="0"/>
                      <w:divBdr>
                        <w:top w:val="none" w:sz="0" w:space="0" w:color="auto"/>
                        <w:left w:val="none" w:sz="0" w:space="0" w:color="auto"/>
                        <w:bottom w:val="none" w:sz="0" w:space="0" w:color="auto"/>
                        <w:right w:val="none" w:sz="0" w:space="0" w:color="auto"/>
                      </w:divBdr>
                      <w:divsChild>
                        <w:div w:id="1024985337">
                          <w:marLeft w:val="0"/>
                          <w:marRight w:val="0"/>
                          <w:marTop w:val="0"/>
                          <w:marBottom w:val="0"/>
                          <w:divBdr>
                            <w:top w:val="none" w:sz="0" w:space="0" w:color="auto"/>
                            <w:left w:val="none" w:sz="0" w:space="0" w:color="auto"/>
                            <w:bottom w:val="none" w:sz="0" w:space="0" w:color="auto"/>
                            <w:right w:val="none" w:sz="0" w:space="0" w:color="auto"/>
                          </w:divBdr>
                        </w:div>
                        <w:div w:id="2057855271">
                          <w:marLeft w:val="0"/>
                          <w:marRight w:val="0"/>
                          <w:marTop w:val="0"/>
                          <w:marBottom w:val="0"/>
                          <w:divBdr>
                            <w:top w:val="single" w:sz="6" w:space="0" w:color="D5D5D5"/>
                            <w:left w:val="single" w:sz="6" w:space="12" w:color="D5D5D5"/>
                            <w:bottom w:val="single" w:sz="6" w:space="0" w:color="D5D5D5"/>
                            <w:right w:val="single" w:sz="6" w:space="12" w:color="D5D5D5"/>
                          </w:divBdr>
                          <w:divsChild>
                            <w:div w:id="131212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9544650">
          <w:marLeft w:val="0"/>
          <w:marRight w:val="0"/>
          <w:marTop w:val="0"/>
          <w:marBottom w:val="0"/>
          <w:divBdr>
            <w:top w:val="none" w:sz="0" w:space="0" w:color="auto"/>
            <w:left w:val="none" w:sz="0" w:space="0" w:color="auto"/>
            <w:bottom w:val="none" w:sz="0" w:space="0" w:color="auto"/>
            <w:right w:val="none" w:sz="0" w:space="0" w:color="auto"/>
          </w:divBdr>
          <w:divsChild>
            <w:div w:id="219633625">
              <w:marLeft w:val="0"/>
              <w:marRight w:val="0"/>
              <w:marTop w:val="0"/>
              <w:marBottom w:val="0"/>
              <w:divBdr>
                <w:top w:val="none" w:sz="0" w:space="0" w:color="auto"/>
                <w:left w:val="none" w:sz="0" w:space="0" w:color="auto"/>
                <w:bottom w:val="none" w:sz="0" w:space="0" w:color="auto"/>
                <w:right w:val="none" w:sz="0" w:space="0" w:color="auto"/>
              </w:divBdr>
              <w:divsChild>
                <w:div w:id="1284727965">
                  <w:marLeft w:val="0"/>
                  <w:marRight w:val="0"/>
                  <w:marTop w:val="0"/>
                  <w:marBottom w:val="270"/>
                  <w:divBdr>
                    <w:top w:val="none" w:sz="0" w:space="0" w:color="auto"/>
                    <w:left w:val="none" w:sz="0" w:space="0" w:color="auto"/>
                    <w:bottom w:val="none" w:sz="0" w:space="0" w:color="auto"/>
                    <w:right w:val="none" w:sz="0" w:space="0" w:color="auto"/>
                  </w:divBdr>
                  <w:divsChild>
                    <w:div w:id="1573465413">
                      <w:marLeft w:val="0"/>
                      <w:marRight w:val="0"/>
                      <w:marTop w:val="0"/>
                      <w:marBottom w:val="0"/>
                      <w:divBdr>
                        <w:top w:val="none" w:sz="0" w:space="0" w:color="auto"/>
                        <w:left w:val="none" w:sz="0" w:space="0" w:color="auto"/>
                        <w:bottom w:val="none" w:sz="0" w:space="0" w:color="auto"/>
                        <w:right w:val="none" w:sz="0" w:space="0" w:color="auto"/>
                      </w:divBdr>
                      <w:divsChild>
                        <w:div w:id="572473764">
                          <w:marLeft w:val="0"/>
                          <w:marRight w:val="0"/>
                          <w:marTop w:val="0"/>
                          <w:marBottom w:val="0"/>
                          <w:divBdr>
                            <w:top w:val="none" w:sz="0" w:space="0" w:color="auto"/>
                            <w:left w:val="none" w:sz="0" w:space="0" w:color="auto"/>
                            <w:bottom w:val="none" w:sz="0" w:space="0" w:color="auto"/>
                            <w:right w:val="none" w:sz="0" w:space="0" w:color="auto"/>
                          </w:divBdr>
                          <w:divsChild>
                            <w:div w:id="932855143">
                              <w:marLeft w:val="0"/>
                              <w:marRight w:val="0"/>
                              <w:marTop w:val="0"/>
                              <w:marBottom w:val="0"/>
                              <w:divBdr>
                                <w:top w:val="none" w:sz="0" w:space="0" w:color="auto"/>
                                <w:left w:val="none" w:sz="0" w:space="0" w:color="auto"/>
                                <w:bottom w:val="none" w:sz="0" w:space="0" w:color="auto"/>
                                <w:right w:val="none" w:sz="0" w:space="0" w:color="auto"/>
                              </w:divBdr>
                              <w:divsChild>
                                <w:div w:id="728846603">
                                  <w:marLeft w:val="0"/>
                                  <w:marRight w:val="0"/>
                                  <w:marTop w:val="0"/>
                                  <w:marBottom w:val="0"/>
                                  <w:divBdr>
                                    <w:top w:val="none" w:sz="0" w:space="0" w:color="auto"/>
                                    <w:left w:val="none" w:sz="0" w:space="0" w:color="auto"/>
                                    <w:bottom w:val="none" w:sz="0" w:space="0" w:color="auto"/>
                                    <w:right w:val="none" w:sz="0" w:space="0" w:color="auto"/>
                                  </w:divBdr>
                                </w:div>
                              </w:divsChild>
                            </w:div>
                            <w:div w:id="603998968">
                              <w:marLeft w:val="0"/>
                              <w:marRight w:val="0"/>
                              <w:marTop w:val="0"/>
                              <w:marBottom w:val="0"/>
                              <w:divBdr>
                                <w:top w:val="none" w:sz="0" w:space="0" w:color="auto"/>
                                <w:left w:val="none" w:sz="0" w:space="0" w:color="auto"/>
                                <w:bottom w:val="none" w:sz="0" w:space="0" w:color="auto"/>
                                <w:right w:val="none" w:sz="0" w:space="0" w:color="auto"/>
                              </w:divBdr>
                              <w:divsChild>
                                <w:div w:id="67380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868</Words>
  <Characters>4948</Characters>
  <Application>Microsoft Office Word</Application>
  <DocSecurity>0</DocSecurity>
  <Lines>41</Lines>
  <Paragraphs>11</Paragraphs>
  <ScaleCrop>false</ScaleCrop>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gearle</dc:creator>
  <cp:keywords/>
  <dc:description/>
  <cp:lastModifiedBy>gearle</cp:lastModifiedBy>
  <cp:revision>2</cp:revision>
  <dcterms:created xsi:type="dcterms:W3CDTF">2023-06-20T23:30:00Z</dcterms:created>
  <dcterms:modified xsi:type="dcterms:W3CDTF">2023-06-22T18:49:00Z</dcterms:modified>
</cp:coreProperties>
</file>